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B14F19">
        <w:rPr>
          <w:rFonts w:ascii="Times New Roman" w:hAnsi="Times New Roman" w:cs="Times New Roman"/>
          <w:b/>
          <w:sz w:val="24"/>
          <w:szCs w:val="24"/>
        </w:rPr>
        <w:t xml:space="preserve"> (NH)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person </w:t>
      </w:r>
      <w:r w:rsidR="00B14F19">
        <w:rPr>
          <w:rFonts w:ascii="Times New Roman" w:hAnsi="Times New Roman" w:cs="Times New Roman"/>
          <w:b/>
          <w:sz w:val="24"/>
          <w:szCs w:val="24"/>
        </w:rPr>
        <w:t>who, with the purpose to injure, defraud or deceive any insurance company, files a statement of claim containing any false, incomplete or misleading information is subject to prosecution and punishment for insurance fraud, as provided in RSA 638.20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748674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4F19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199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3</cp:revision>
  <cp:lastPrinted>2015-04-02T17:58:00Z</cp:lastPrinted>
  <dcterms:created xsi:type="dcterms:W3CDTF">2018-01-29T21:28:00Z</dcterms:created>
  <dcterms:modified xsi:type="dcterms:W3CDTF">2018-01-29T21:29:00Z</dcterms:modified>
</cp:coreProperties>
</file>